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1499151</wp:posOffset>
            </wp:positionH>
            <wp:positionV relativeFrom="page">
              <wp:posOffset>359473</wp:posOffset>
            </wp:positionV>
            <wp:extent cx="3156117" cy="11098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otia-Logo-Black-A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117" cy="11098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POST TREATMENT INSTRUCTIONS AFTER KYBELLA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Redness may last up to a week and may be camouflaged with makeup.</w:t>
      </w:r>
    </w:p>
    <w:p>
      <w:pPr>
        <w:pStyle w:val="Body"/>
        <w:jc w:val="left"/>
      </w:pP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Swelling may last up to 10 days. Swelling can be significant. It is important to do the following:</w:t>
      </w:r>
    </w:p>
    <w:p>
      <w:pPr>
        <w:pStyle w:val="Body"/>
        <w:numPr>
          <w:ilvl w:val="2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Applying a cloth covered ice pack for 20 minute intervals will reduce local swelling. </w:t>
      </w:r>
    </w:p>
    <w:p>
      <w:pPr>
        <w:pStyle w:val="Body"/>
        <w:numPr>
          <w:ilvl w:val="2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You my wrap an ACE bandage around the neck area and top of the head as needed to reduce swelling.</w:t>
      </w:r>
    </w:p>
    <w:p>
      <w:pPr>
        <w:pStyle w:val="Body"/>
        <w:numPr>
          <w:ilvl w:val="2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Sleep slightly elevated on several pillows the first night or two to minimize swelling. </w:t>
      </w:r>
    </w:p>
    <w:p>
      <w:pPr>
        <w:pStyle w:val="Body"/>
        <w:jc w:val="left"/>
      </w:pP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Mild bruising is possible. Arnica may be purchased from the practice if needed to help reduce bruising and swelling. Make-up can be used to cover up bruising.</w:t>
      </w:r>
    </w:p>
    <w:p>
      <w:pPr>
        <w:pStyle w:val="Body"/>
        <w:jc w:val="left"/>
      </w:pP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Activity should be limited for the first 24 hours. Elevation of blood pressure from exercise or strenuous activity may increase swelling and bruising.</w:t>
      </w:r>
    </w:p>
    <w:p>
      <w:pPr>
        <w:pStyle w:val="Body"/>
        <w:jc w:val="left"/>
      </w:pP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Localized tenderness will subside in 7-10 days. It is common to feel slight numbness or firmness in the injected area for the first 2-3 weeks.</w:t>
      </w:r>
    </w:p>
    <w:p>
      <w:pPr>
        <w:pStyle w:val="Body"/>
        <w:jc w:val="left"/>
      </w:pP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Take Tylenol as needed for pain control (per the box instructions) following the injection.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CALL THE PRACTICE IF YOU HAVE QUESTIONS OR CONCERNS. SCHEDULE A FOLLOW-UP APPOINTMENT 8 weeks after your injection to review the result.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age">
    <w:name w:val="Imag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